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B454" w14:textId="77777777" w:rsidR="000D30EB" w:rsidRPr="00B05DEC" w:rsidRDefault="000D30EB" w:rsidP="000D3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B05DEC">
        <w:rPr>
          <w:rFonts w:ascii="Times New Roman" w:eastAsia="Times New Roman" w:hAnsi="Times New Roman" w:cs="Times New Roman"/>
          <w:b/>
          <w:i/>
          <w:sz w:val="38"/>
          <w:szCs w:val="20"/>
        </w:rPr>
        <w:t>Public Utility Commission of Texas</w:t>
      </w:r>
    </w:p>
    <w:p w14:paraId="539CE5F6" w14:textId="77777777" w:rsidR="000D30EB" w:rsidRPr="00B05DEC" w:rsidRDefault="000D30EB" w:rsidP="000D30EB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12"/>
          <w:szCs w:val="12"/>
        </w:rPr>
      </w:pPr>
      <w:r w:rsidRPr="00B05DEC">
        <w:rPr>
          <w:rFonts w:ascii="Times New Roman" w:eastAsia="Times New Roman" w:hAnsi="Times New Roman" w:cs="Times New Roman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6ABA1" wp14:editId="50331907">
                <wp:simplePos x="0" y="0"/>
                <wp:positionH relativeFrom="column">
                  <wp:posOffset>1132953</wp:posOffset>
                </wp:positionH>
                <wp:positionV relativeFrom="paragraph">
                  <wp:posOffset>45085</wp:posOffset>
                </wp:positionV>
                <wp:extent cx="36576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AFB23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pt,3.55pt" to="377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" strokecolor="windowText" strokeweight="1pt">
                <v:stroke joinstyle="miter"/>
              </v:line>
            </w:pict>
          </mc:Fallback>
        </mc:AlternateContent>
      </w:r>
    </w:p>
    <w:p w14:paraId="452EFA57" w14:textId="77777777" w:rsidR="000D30EB" w:rsidRPr="00B05DEC" w:rsidRDefault="000D30EB" w:rsidP="000D3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05DEC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39882C8A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D920C9">
        <w:rPr>
          <w:rFonts w:ascii="Times New Roman" w:eastAsia="Times New Roman" w:hAnsi="Times New Roman" w:cs="Times New Roman"/>
          <w:sz w:val="24"/>
          <w:szCs w:val="24"/>
        </w:rPr>
        <w:t>Cheri Hasz</w:t>
      </w:r>
      <w:r w:rsidR="006070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03B13224" w:rsidR="003E3FA5" w:rsidRPr="003E3FA5" w:rsidRDefault="003E3FA5" w:rsidP="00A173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>Ethan Blanchard</w:t>
      </w:r>
      <w:r w:rsidR="00B52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190D8F72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A00F8E">
        <w:rPr>
          <w:rFonts w:ascii="Times New Roman" w:eastAsia="Times New Roman" w:hAnsi="Times New Roman" w:cs="Times New Roman"/>
          <w:sz w:val="24"/>
          <w:szCs w:val="24"/>
        </w:rPr>
        <w:t>March 19, 2024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32BB6FE8" w:rsidR="003E3FA5" w:rsidRPr="003E3FA5" w:rsidRDefault="003E3FA5" w:rsidP="0060708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="00607086"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0704E9">
        <w:rPr>
          <w:rFonts w:ascii="Times New Roman" w:eastAsia="Times New Roman" w:hAnsi="Times New Roman" w:cs="Times New Roman"/>
          <w:bCs/>
          <w:iCs/>
          <w:sz w:val="24"/>
          <w:szCs w:val="24"/>
        </w:rPr>
        <w:t>53630</w:t>
      </w:r>
      <w:r w:rsidR="00607086"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="00607086"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60708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Orbit Systems, Inc. and Undine Texas</w:t>
      </w:r>
      <w:r w:rsidR="0085248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Environmental</w:t>
      </w:r>
      <w:r w:rsidR="0060708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, LLC </w:t>
      </w:r>
      <w:r w:rsidR="00607086"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 w:rsidR="0060708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Brazoria County</w:t>
      </w: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B364D7" w14:textId="77777777" w:rsidR="00371436" w:rsidRDefault="00B078F0" w:rsidP="0037143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78F0">
        <w:rPr>
          <w:rFonts w:ascii="Times New Roman" w:eastAsia="Times New Roman" w:hAnsi="Times New Roman" w:cs="Times New Roman"/>
          <w:sz w:val="24"/>
          <w:szCs w:val="24"/>
        </w:rPr>
        <w:t>On May 23, 2022, Undine Texas Environmental, LLC (Undine), CCN No. 20816, and Orbit Systems, Inc</w:t>
      </w:r>
      <w:r w:rsidR="00B0720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078F0">
        <w:rPr>
          <w:rFonts w:ascii="Times New Roman" w:eastAsia="Times New Roman" w:hAnsi="Times New Roman" w:cs="Times New Roman"/>
          <w:sz w:val="24"/>
          <w:szCs w:val="24"/>
        </w:rPr>
        <w:t xml:space="preserve">filed an application for the sale and transfer of facilities and certificate rights in Brazoria County under the provisions of Texas Water Code § 13.301 and 16 Texas Administrative Code § 24.239. </w:t>
      </w:r>
      <w:r w:rsidR="00371436">
        <w:rPr>
          <w:rFonts w:ascii="Times New Roman" w:eastAsia="Times New Roman" w:hAnsi="Times New Roman" w:cs="Times New Roman"/>
          <w:sz w:val="24"/>
          <w:szCs w:val="24"/>
        </w:rPr>
        <w:t>Undine must demonstrate financial capability under 16 TAC § 24.11.</w:t>
      </w:r>
    </w:p>
    <w:p w14:paraId="09331005" w14:textId="386D145F" w:rsidR="0097717E" w:rsidRPr="00693AC3" w:rsidRDefault="0097717E" w:rsidP="00371436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3A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Leverage Test</w:t>
      </w:r>
    </w:p>
    <w:p w14:paraId="06FA579A" w14:textId="77777777" w:rsidR="0097717E" w:rsidRDefault="0097717E" w:rsidP="0097717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Undine filed a Guaranty Agreement between Undine and Undine’s guarantor, Undine Group, LLC, which states that Undine Group, LLC is capable, available, and willing to cover temporary cash shortages.</w:t>
      </w:r>
      <w:r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</w:p>
    <w:p w14:paraId="4CFF62DF" w14:textId="1D0B29B5" w:rsidR="0097717E" w:rsidRPr="00A36022" w:rsidRDefault="0097717E" w:rsidP="0097717E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B7C">
        <w:rPr>
          <w:rFonts w:ascii="Times New Roman" w:eastAsia="Times New Roman" w:hAnsi="Times New Roman" w:cs="Times New Roman"/>
          <w:sz w:val="24"/>
          <w:szCs w:val="24"/>
        </w:rPr>
        <w:t xml:space="preserve">My analysis is based on financial statements ending </w:t>
      </w:r>
      <w:r>
        <w:rPr>
          <w:rFonts w:ascii="Times New Roman" w:eastAsia="Times New Roman" w:hAnsi="Times New Roman" w:cs="Times New Roman"/>
          <w:sz w:val="24"/>
          <w:szCs w:val="24"/>
        </w:rPr>
        <w:t>December 31</w:t>
      </w:r>
      <w:r w:rsidRPr="00174B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673B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74B7C">
        <w:rPr>
          <w:rFonts w:ascii="Times New Roman" w:eastAsia="Times New Roman" w:hAnsi="Times New Roman" w:cs="Times New Roman"/>
          <w:sz w:val="24"/>
          <w:szCs w:val="24"/>
        </w:rPr>
        <w:t xml:space="preserve">.  These financial statements contain an unqualified auditor’s opinion from </w:t>
      </w:r>
      <w:r>
        <w:rPr>
          <w:rFonts w:ascii="Times New Roman" w:eastAsia="Times New Roman" w:hAnsi="Times New Roman" w:cs="Times New Roman"/>
          <w:sz w:val="24"/>
          <w:szCs w:val="24"/>
        </w:rPr>
        <w:t>Plante &amp; Moran, PLLC</w:t>
      </w:r>
      <w:r w:rsidRPr="00174B7C">
        <w:rPr>
          <w:rFonts w:ascii="Times New Roman" w:eastAsia="Times New Roman" w:hAnsi="Times New Roman" w:cs="Times New Roman"/>
          <w:sz w:val="24"/>
          <w:szCs w:val="24"/>
        </w:rPr>
        <w:t xml:space="preserve"> stating that the financial statements present fairly, in all material respects, the financial position of </w:t>
      </w:r>
      <w:r>
        <w:rPr>
          <w:rFonts w:ascii="Times New Roman" w:eastAsia="Times New Roman" w:hAnsi="Times New Roman" w:cs="Times New Roman"/>
          <w:sz w:val="24"/>
          <w:szCs w:val="24"/>
        </w:rPr>
        <w:t>Undine Group, LLC</w:t>
      </w:r>
      <w:r w:rsidRPr="00174B7C">
        <w:rPr>
          <w:rFonts w:ascii="Times New Roman" w:eastAsia="Times New Roman" w:hAnsi="Times New Roman" w:cs="Times New Roman"/>
          <w:sz w:val="24"/>
          <w:szCs w:val="24"/>
        </w:rPr>
        <w:t xml:space="preserve"> as of </w:t>
      </w:r>
      <w:r w:rsidRPr="00A36022">
        <w:rPr>
          <w:rFonts w:ascii="Times New Roman" w:eastAsia="Times New Roman" w:hAnsi="Times New Roman" w:cs="Times New Roman"/>
          <w:sz w:val="24"/>
          <w:szCs w:val="24"/>
        </w:rPr>
        <w:t xml:space="preserve">December 31, </w:t>
      </w: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673B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360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36022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</w:p>
    <w:p w14:paraId="2E9E2591" w14:textId="5351EDC7" w:rsidR="00082B4F" w:rsidRPr="00B16545" w:rsidRDefault="0097717E" w:rsidP="00082B4F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6022">
        <w:rPr>
          <w:rFonts w:ascii="Times New Roman" w:eastAsia="Times New Roman" w:hAnsi="Times New Roman" w:cs="Times New Roman"/>
          <w:sz w:val="24"/>
          <w:szCs w:val="24"/>
        </w:rPr>
        <w:tab/>
        <w:t>Based upon my review of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Pr="00A36022">
        <w:rPr>
          <w:rFonts w:ascii="Times New Roman" w:eastAsia="Times New Roman" w:hAnsi="Times New Roman" w:cs="Times New Roman"/>
          <w:sz w:val="24"/>
          <w:szCs w:val="24"/>
        </w:rPr>
        <w:t>financial statements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of Undine Group, LLC,</w:t>
      </w:r>
      <w:r w:rsidRPr="00A36022">
        <w:rPr>
          <w:rFonts w:ascii="Times New Roman" w:eastAsia="Times New Roman" w:hAnsi="Times New Roman" w:cs="Times New Roman"/>
          <w:sz w:val="24"/>
          <w:szCs w:val="24"/>
        </w:rPr>
        <w:t xml:space="preserve"> I calculate the debt-to-equity ratio </w:t>
      </w:r>
      <w:r w:rsidR="009673B9">
        <w:rPr>
          <w:rFonts w:ascii="Times New Roman" w:eastAsia="Times New Roman" w:hAnsi="Times New Roman" w:cs="Times New Roman"/>
          <w:sz w:val="24"/>
          <w:szCs w:val="24"/>
        </w:rPr>
        <w:t xml:space="preserve">to be </w:t>
      </w:r>
      <w:r w:rsidR="00371436">
        <w:rPr>
          <w:rFonts w:ascii="Times New Roman" w:eastAsia="Times New Roman" w:hAnsi="Times New Roman" w:cs="Times New Roman"/>
          <w:sz w:val="24"/>
          <w:szCs w:val="24"/>
        </w:rPr>
        <w:t>less than one</w:t>
      </w:r>
      <w:r w:rsidRPr="00A360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36022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3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2B4F">
        <w:rPr>
          <w:rFonts w:ascii="Times New Roman" w:eastAsia="Times New Roman" w:hAnsi="Times New Roman" w:cs="Times New Roman"/>
          <w:sz w:val="24"/>
          <w:szCs w:val="24"/>
        </w:rPr>
        <w:t>Therefore</w:t>
      </w:r>
      <w:r w:rsidR="00082B4F" w:rsidRPr="00A36022">
        <w:rPr>
          <w:rFonts w:ascii="Times New Roman" w:eastAsia="Times New Roman" w:hAnsi="Times New Roman" w:cs="Times New Roman"/>
          <w:sz w:val="24"/>
          <w:szCs w:val="24"/>
        </w:rPr>
        <w:t xml:space="preserve">, I recommend a finding that Undine </w:t>
      </w:r>
      <w:r w:rsidR="00082B4F">
        <w:rPr>
          <w:rFonts w:ascii="Times New Roman" w:eastAsia="Times New Roman" w:hAnsi="Times New Roman" w:cs="Times New Roman"/>
          <w:sz w:val="24"/>
          <w:szCs w:val="24"/>
        </w:rPr>
        <w:t xml:space="preserve">Group, LLC </w:t>
      </w:r>
      <w:r w:rsidR="00082B4F" w:rsidRPr="00A36022">
        <w:rPr>
          <w:rFonts w:ascii="Times New Roman" w:eastAsia="Times New Roman" w:hAnsi="Times New Roman" w:cs="Times New Roman"/>
          <w:sz w:val="24"/>
          <w:szCs w:val="24"/>
        </w:rPr>
        <w:t xml:space="preserve">meets the leverage test specified in 16 TAC </w:t>
      </w:r>
      <w:bookmarkStart w:id="1" w:name="_Hlk59192949"/>
      <w:r w:rsidR="00082B4F" w:rsidRPr="00A36022">
        <w:rPr>
          <w:rFonts w:ascii="Times New Roman" w:eastAsia="Times New Roman" w:hAnsi="Times New Roman" w:cs="Times New Roman"/>
          <w:sz w:val="24"/>
          <w:szCs w:val="24"/>
        </w:rPr>
        <w:t>§ 24.11(e)(2)(A)</w:t>
      </w:r>
      <w:bookmarkEnd w:id="1"/>
      <w:r w:rsidR="00082B4F">
        <w:rPr>
          <w:rFonts w:ascii="Times New Roman" w:eastAsia="Times New Roman" w:hAnsi="Times New Roman" w:cs="Times New Roman"/>
          <w:sz w:val="24"/>
          <w:szCs w:val="24"/>
        </w:rPr>
        <w:t xml:space="preserve"> and that</w:t>
      </w:r>
      <w:r w:rsidR="00082B4F" w:rsidRPr="00156FAF">
        <w:rPr>
          <w:rFonts w:ascii="Times New Roman" w:eastAsia="Times New Roman" w:hAnsi="Times New Roman" w:cs="Times New Roman"/>
          <w:sz w:val="24"/>
          <w:szCs w:val="24"/>
        </w:rPr>
        <w:t xml:space="preserve">—through </w:t>
      </w:r>
      <w:r w:rsidR="00082B4F">
        <w:rPr>
          <w:rFonts w:ascii="Times New Roman" w:eastAsia="Times New Roman" w:hAnsi="Times New Roman" w:cs="Times New Roman"/>
          <w:sz w:val="24"/>
          <w:szCs w:val="24"/>
        </w:rPr>
        <w:t>their</w:t>
      </w:r>
      <w:r w:rsidR="00082B4F" w:rsidRPr="00156F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2B4F" w:rsidRPr="00156FAF">
        <w:rPr>
          <w:rFonts w:ascii="Times New Roman" w:eastAsia="Times New Roman" w:hAnsi="Times New Roman" w:cs="Times New Roman"/>
          <w:sz w:val="24"/>
          <w:szCs w:val="24"/>
        </w:rPr>
        <w:lastRenderedPageBreak/>
        <w:t>affiliate—</w:t>
      </w:r>
      <w:r w:rsidR="00082B4F">
        <w:rPr>
          <w:rFonts w:ascii="Times New Roman" w:eastAsia="Times New Roman" w:hAnsi="Times New Roman" w:cs="Times New Roman"/>
          <w:sz w:val="24"/>
          <w:szCs w:val="24"/>
        </w:rPr>
        <w:t>Undine</w:t>
      </w:r>
      <w:r w:rsidR="00082B4F" w:rsidRPr="00156FAF">
        <w:rPr>
          <w:rFonts w:ascii="Times New Roman" w:eastAsia="Times New Roman" w:hAnsi="Times New Roman" w:cs="Times New Roman"/>
          <w:sz w:val="24"/>
          <w:szCs w:val="24"/>
        </w:rPr>
        <w:t xml:space="preserve"> meets the leverage test as specified in 16 TAC § 24.11(e)(2)(E).</w:t>
      </w:r>
    </w:p>
    <w:p w14:paraId="763D0B03" w14:textId="0413FE2D" w:rsidR="0097717E" w:rsidRPr="00505F11" w:rsidRDefault="0097717E" w:rsidP="0097717E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5F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Operations Test</w:t>
      </w:r>
    </w:p>
    <w:p w14:paraId="1DC150EA" w14:textId="77777777" w:rsidR="0061731A" w:rsidRDefault="0097717E" w:rsidP="0061731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1731A" w:rsidRPr="00133D92">
        <w:rPr>
          <w:rFonts w:ascii="Times New Roman" w:eastAsia="Times New Roman" w:hAnsi="Times New Roman" w:cs="Times New Roman"/>
          <w:sz w:val="24"/>
          <w:szCs w:val="24"/>
        </w:rPr>
        <w:t xml:space="preserve">An owner or operator must demonstrate sufficient </w:t>
      </w:r>
      <w:r w:rsidR="0061731A" w:rsidRPr="00F7391A">
        <w:rPr>
          <w:rFonts w:ascii="Times New Roman" w:eastAsia="Times New Roman" w:hAnsi="Times New Roman" w:cs="Times New Roman"/>
          <w:sz w:val="24"/>
          <w:szCs w:val="24"/>
        </w:rPr>
        <w:t xml:space="preserve">available cash to cover projected </w:t>
      </w:r>
      <w:r w:rsidR="0061731A">
        <w:rPr>
          <w:rFonts w:ascii="Times New Roman" w:eastAsia="Times New Roman" w:hAnsi="Times New Roman" w:cs="Times New Roman"/>
          <w:sz w:val="24"/>
          <w:szCs w:val="24"/>
        </w:rPr>
        <w:t xml:space="preserve">net operating cash losses </w:t>
      </w:r>
      <w:r w:rsidR="0061731A" w:rsidRPr="00204D19">
        <w:rPr>
          <w:rFonts w:ascii="Times New Roman" w:eastAsia="Times New Roman" w:hAnsi="Times New Roman" w:cs="Times New Roman"/>
          <w:sz w:val="24"/>
          <w:szCs w:val="24"/>
        </w:rPr>
        <w:t>during the first five years of operations</w:t>
      </w:r>
      <w:r w:rsidR="0061731A" w:rsidRPr="00133D92">
        <w:rPr>
          <w:rFonts w:ascii="Times New Roman" w:eastAsia="Times New Roman" w:hAnsi="Times New Roman" w:cs="Times New Roman"/>
          <w:sz w:val="24"/>
          <w:szCs w:val="24"/>
        </w:rPr>
        <w:t xml:space="preserve">, as required by 16 TAC § 24.11(e)(3). </w:t>
      </w:r>
    </w:p>
    <w:p w14:paraId="08B50908" w14:textId="1C49D0AA" w:rsidR="0097717E" w:rsidRPr="004037C0" w:rsidRDefault="0097717E" w:rsidP="0061731A">
      <w:pPr>
        <w:widowControl w:val="0"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F2F">
        <w:rPr>
          <w:rFonts w:ascii="Times New Roman" w:eastAsia="Times New Roman" w:hAnsi="Times New Roman" w:cs="Times New Roman"/>
          <w:sz w:val="24"/>
          <w:szCs w:val="24"/>
        </w:rPr>
        <w:t>Undine projects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operating cash shortages in the first projected year of operations, however this cash shortage is exceeded by Undine’s available cash.</w:t>
      </w:r>
      <w:r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4"/>
      </w:r>
      <w:r w:rsidRPr="00324F2F">
        <w:rPr>
          <w:rFonts w:ascii="Times New Roman" w:eastAsia="Times New Roman" w:hAnsi="Times New Roman" w:cs="Times New Roman"/>
          <w:sz w:val="24"/>
          <w:szCs w:val="24"/>
        </w:rPr>
        <w:t xml:space="preserve"> Therefore, I recommend a finding that Undine meets the operations test specified in 16 TAC § 24.11</w:t>
      </w:r>
      <w:r w:rsidRPr="004037C0">
        <w:rPr>
          <w:rFonts w:ascii="Times New Roman" w:eastAsia="Times New Roman" w:hAnsi="Times New Roman" w:cs="Times New Roman"/>
          <w:sz w:val="24"/>
          <w:szCs w:val="24"/>
        </w:rPr>
        <w:t>(e)(3).</w:t>
      </w:r>
    </w:p>
    <w:p w14:paraId="7AC93E97" w14:textId="77777777" w:rsidR="00180666" w:rsidRDefault="00180666" w:rsidP="00180666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Capital Improvement Plan and Purchase Price</w:t>
      </w:r>
    </w:p>
    <w:p w14:paraId="15731D8B" w14:textId="77777777" w:rsidR="00180666" w:rsidRPr="002218F7" w:rsidRDefault="00180666" w:rsidP="00180666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18F7">
        <w:rPr>
          <w:rFonts w:ascii="Times New Roman" w:eastAsia="Times New Roman" w:hAnsi="Times New Roman" w:cs="Times New Roman"/>
          <w:sz w:val="24"/>
          <w:szCs w:val="24"/>
        </w:rPr>
        <w:tab/>
      </w:r>
      <w:r w:rsidRPr="00B57CBC">
        <w:rPr>
          <w:rFonts w:ascii="Times New Roman" w:eastAsia="Times New Roman" w:hAnsi="Times New Roman" w:cs="Times New Roman"/>
          <w:sz w:val="24"/>
          <w:szCs w:val="24"/>
        </w:rPr>
        <w:t xml:space="preserve">An applicant proposing service to a new CCN area must provide documentation of adequate funding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Pr="00B57CBC">
        <w:rPr>
          <w:rFonts w:ascii="Times New Roman" w:eastAsia="Times New Roman" w:hAnsi="Times New Roman" w:cs="Times New Roman"/>
          <w:sz w:val="24"/>
          <w:szCs w:val="24"/>
        </w:rPr>
        <w:t>any improvements necessary to provide continuous and adequate servic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B57CBC">
        <w:rPr>
          <w:rFonts w:ascii="Times New Roman" w:eastAsia="Times New Roman" w:hAnsi="Times New Roman" w:cs="Times New Roman"/>
          <w:sz w:val="24"/>
          <w:szCs w:val="24"/>
        </w:rPr>
        <w:t xml:space="preserve"> per 16 TAC § 24.11(e)(5).</w:t>
      </w:r>
    </w:p>
    <w:p w14:paraId="7C412C8B" w14:textId="77777777" w:rsidR="00180666" w:rsidRDefault="00180666" w:rsidP="00180666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18F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Undine</w:t>
      </w:r>
      <w:r w:rsidRPr="002218F7">
        <w:rPr>
          <w:rFonts w:ascii="Times New Roman" w:eastAsia="Times New Roman" w:hAnsi="Times New Roman" w:cs="Times New Roman"/>
          <w:sz w:val="24"/>
          <w:szCs w:val="24"/>
        </w:rPr>
        <w:t xml:space="preserve"> has filed documentation demonstrating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adequate funding of the purchase price and planned system improvements.</w:t>
      </w:r>
      <w:r w:rsidRPr="002218F7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5"/>
      </w:r>
      <w:r w:rsidRPr="002218F7">
        <w:rPr>
          <w:rFonts w:ascii="Times New Roman" w:eastAsia="Times New Roman" w:hAnsi="Times New Roman" w:cs="Times New Roman"/>
          <w:sz w:val="24"/>
          <w:szCs w:val="24"/>
        </w:rPr>
        <w:t xml:space="preserve"> Therefore, I recommend a finding that </w:t>
      </w:r>
      <w:r>
        <w:rPr>
          <w:rFonts w:ascii="Times New Roman" w:eastAsia="Times New Roman" w:hAnsi="Times New Roman" w:cs="Times New Roman"/>
          <w:sz w:val="24"/>
          <w:szCs w:val="24"/>
        </w:rPr>
        <w:t>Undine</w:t>
      </w:r>
      <w:r w:rsidRPr="002218F7">
        <w:rPr>
          <w:rFonts w:ascii="Times New Roman" w:eastAsia="Times New Roman" w:hAnsi="Times New Roman" w:cs="Times New Roman"/>
          <w:sz w:val="24"/>
          <w:szCs w:val="24"/>
        </w:rPr>
        <w:t xml:space="preserve"> satisfies the requirements of 16 TAC § 24.11(e)(5)(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2218F7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273476A" w14:textId="77777777" w:rsidR="0097717E" w:rsidRPr="00505F11" w:rsidRDefault="0097717E" w:rsidP="0097717E">
      <w:pPr>
        <w:keepNext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05F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Recommendation</w:t>
      </w:r>
    </w:p>
    <w:p w14:paraId="7ABE52B6" w14:textId="392557BA" w:rsidR="00C74679" w:rsidRPr="00376E5F" w:rsidRDefault="006F533A" w:rsidP="006F533A">
      <w:pPr>
        <w:widowControl w:val="0"/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eastAsia="Times New Roman" w:hAnsi="Times New Roman" w:cs="Times New Roman"/>
          <w:sz w:val="24"/>
          <w:szCs w:val="24"/>
        </w:rPr>
        <w:t xml:space="preserve">Because </w:t>
      </w:r>
      <w:r>
        <w:rPr>
          <w:rFonts w:ascii="Times New Roman" w:eastAsia="Times New Roman" w:hAnsi="Times New Roman" w:cs="Times New Roman"/>
          <w:sz w:val="24"/>
          <w:szCs w:val="24"/>
        </w:rPr>
        <w:t>Undine</w:t>
      </w:r>
      <w:r w:rsidRPr="004037C0">
        <w:rPr>
          <w:rFonts w:ascii="Times New Roman" w:eastAsia="Times New Roman" w:hAnsi="Times New Roman" w:cs="Times New Roman"/>
          <w:sz w:val="24"/>
          <w:szCs w:val="24"/>
        </w:rPr>
        <w:t xml:space="preserve"> meets the financial tests, I do not recommend that the Commission require additional financial assurance.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 xml:space="preserve">Consequently, I recommend a finding that </w:t>
      </w:r>
      <w:r>
        <w:rPr>
          <w:rFonts w:ascii="Times New Roman" w:hAnsi="Times New Roman" w:cs="Times New Roman"/>
          <w:sz w:val="24"/>
          <w:szCs w:val="24"/>
        </w:rPr>
        <w:t xml:space="preserve">Undine </w:t>
      </w:r>
      <w:r w:rsidRPr="004037C0">
        <w:rPr>
          <w:rFonts w:ascii="Times New Roman" w:hAnsi="Times New Roman" w:cs="Times New Roman"/>
          <w:sz w:val="24"/>
          <w:szCs w:val="24"/>
        </w:rPr>
        <w:t>demonstrates the financial capability needed to provide continuous</w:t>
      </w:r>
      <w:r w:rsidRPr="00372923">
        <w:rPr>
          <w:rFonts w:ascii="Times New Roman" w:hAnsi="Times New Roman" w:cs="Times New Roman"/>
          <w:sz w:val="24"/>
          <w:szCs w:val="24"/>
        </w:rPr>
        <w:t xml:space="preserve"> and adequate service to the area subject to this application.</w:t>
      </w:r>
    </w:p>
    <w:sectPr w:rsidR="00C74679" w:rsidRPr="00376E5F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32C5" w14:textId="77777777" w:rsidR="00B3144C" w:rsidRDefault="00B3144C" w:rsidP="003E3FA5">
      <w:pPr>
        <w:spacing w:after="0" w:line="240" w:lineRule="auto"/>
      </w:pPr>
      <w:r>
        <w:separator/>
      </w:r>
    </w:p>
  </w:endnote>
  <w:endnote w:type="continuationSeparator" w:id="0">
    <w:p w14:paraId="5391AA0E" w14:textId="77777777" w:rsidR="00B3144C" w:rsidRDefault="00B3144C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5C3B0A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5C3B0A" w:rsidRDefault="005C3B0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5C3B0A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5C3B0A" w:rsidRDefault="005C3B0A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860CA" w14:textId="77777777" w:rsidR="00B3144C" w:rsidRDefault="00B3144C" w:rsidP="003E3FA5">
      <w:pPr>
        <w:spacing w:after="0" w:line="240" w:lineRule="auto"/>
      </w:pPr>
      <w:r>
        <w:separator/>
      </w:r>
    </w:p>
  </w:footnote>
  <w:footnote w:type="continuationSeparator" w:id="0">
    <w:p w14:paraId="511B3339" w14:textId="77777777" w:rsidR="00B3144C" w:rsidRDefault="00B3144C" w:rsidP="003E3FA5">
      <w:pPr>
        <w:spacing w:after="0" w:line="240" w:lineRule="auto"/>
      </w:pPr>
      <w:r>
        <w:continuationSeparator/>
      </w:r>
    </w:p>
  </w:footnote>
  <w:footnote w:id="1">
    <w:p w14:paraId="26416297" w14:textId="55212AE0" w:rsidR="0097717E" w:rsidRDefault="0097717E" w:rsidP="0097717E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="009673B9" w:rsidRPr="009673B9">
        <w:rPr>
          <w:i/>
          <w:iCs/>
        </w:rPr>
        <w:t>Confidential Attachments</w:t>
      </w:r>
      <w:r w:rsidR="009673B9" w:rsidRPr="009673B9">
        <w:t xml:space="preserve">, item no. 92, at bates </w:t>
      </w:r>
      <w:r w:rsidR="00107884">
        <w:t>67-69</w:t>
      </w:r>
      <w:r w:rsidR="009673B9" w:rsidRPr="009673B9">
        <w:t xml:space="preserve"> (Feb. 5, 2024).</w:t>
      </w:r>
    </w:p>
  </w:footnote>
  <w:footnote w:id="2">
    <w:p w14:paraId="356FFE71" w14:textId="697BFF84" w:rsidR="0097717E" w:rsidRPr="000829AF" w:rsidRDefault="0097717E" w:rsidP="0097717E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  <w:r>
        <w:t xml:space="preserve">, at </w:t>
      </w:r>
      <w:r w:rsidR="00832AF8">
        <w:t>37-38</w:t>
      </w:r>
      <w:r>
        <w:t>.</w:t>
      </w:r>
    </w:p>
  </w:footnote>
  <w:footnote w:id="3">
    <w:p w14:paraId="248108BF" w14:textId="77777777" w:rsidR="0097717E" w:rsidRPr="00E80D40" w:rsidRDefault="0097717E" w:rsidP="0097717E">
      <w:pPr>
        <w:pStyle w:val="FootnoteText"/>
        <w:spacing w:after="120"/>
        <w:ind w:firstLine="720"/>
        <w:jc w:val="both"/>
      </w:pPr>
      <w:r w:rsidRPr="00E80D40">
        <w:rPr>
          <w:rStyle w:val="FootnoteReference"/>
        </w:rPr>
        <w:footnoteRef/>
      </w:r>
      <w:r w:rsidRPr="00E80D40">
        <w:t xml:space="preserve">  The calculations for which can be found in confidential Attachment EB-1.</w:t>
      </w:r>
    </w:p>
  </w:footnote>
  <w:footnote w:id="4">
    <w:p w14:paraId="05395D1C" w14:textId="77777777" w:rsidR="0097717E" w:rsidRPr="00E80D40" w:rsidRDefault="0097717E" w:rsidP="0097717E">
      <w:pPr>
        <w:pStyle w:val="FootnoteText"/>
        <w:spacing w:after="120"/>
        <w:ind w:firstLine="720"/>
        <w:jc w:val="both"/>
      </w:pPr>
      <w:r w:rsidRPr="00E80D40">
        <w:rPr>
          <w:rStyle w:val="FootnoteReference"/>
        </w:rPr>
        <w:footnoteRef/>
      </w:r>
      <w:r w:rsidRPr="00E80D40">
        <w:t xml:space="preserve">  The calculations for which can be found in confidential Attachment EB-1.</w:t>
      </w:r>
    </w:p>
  </w:footnote>
  <w:footnote w:id="5">
    <w:p w14:paraId="6B56C289" w14:textId="77777777" w:rsidR="00180666" w:rsidRPr="00FB23E6" w:rsidRDefault="00180666" w:rsidP="00180666">
      <w:pPr>
        <w:pStyle w:val="FootnoteText"/>
        <w:spacing w:after="120"/>
        <w:ind w:firstLine="720"/>
        <w:jc w:val="both"/>
      </w:pPr>
      <w:r w:rsidRPr="00E80D40">
        <w:rPr>
          <w:rStyle w:val="FootnoteReference"/>
        </w:rPr>
        <w:footnoteRef/>
      </w:r>
      <w:r w:rsidRPr="00E80D40">
        <w:t xml:space="preserve">  The calculations for which can be found in confidential Attachment EB-1.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3A2137B6" w:rsidR="005C3B0A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 w:rsidR="00B1474B">
      <w:rPr>
        <w:b/>
      </w:rPr>
      <w:t>53630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60652"/>
    <w:rsid w:val="000654D3"/>
    <w:rsid w:val="000704E9"/>
    <w:rsid w:val="000829AF"/>
    <w:rsid w:val="00082B4F"/>
    <w:rsid w:val="0009457B"/>
    <w:rsid w:val="000D30EB"/>
    <w:rsid w:val="00107884"/>
    <w:rsid w:val="001102DB"/>
    <w:rsid w:val="0013261C"/>
    <w:rsid w:val="00133D92"/>
    <w:rsid w:val="00147CE5"/>
    <w:rsid w:val="00156FAF"/>
    <w:rsid w:val="00174B7C"/>
    <w:rsid w:val="00180666"/>
    <w:rsid w:val="001A1026"/>
    <w:rsid w:val="002149AE"/>
    <w:rsid w:val="00256BA8"/>
    <w:rsid w:val="00267B90"/>
    <w:rsid w:val="00284379"/>
    <w:rsid w:val="002B55D4"/>
    <w:rsid w:val="002D14B4"/>
    <w:rsid w:val="003521B1"/>
    <w:rsid w:val="00363697"/>
    <w:rsid w:val="00371436"/>
    <w:rsid w:val="00372923"/>
    <w:rsid w:val="00376E5F"/>
    <w:rsid w:val="003829B2"/>
    <w:rsid w:val="003C1F2C"/>
    <w:rsid w:val="003D0026"/>
    <w:rsid w:val="003E3FA5"/>
    <w:rsid w:val="004037C0"/>
    <w:rsid w:val="004412BD"/>
    <w:rsid w:val="00446D9B"/>
    <w:rsid w:val="00455C93"/>
    <w:rsid w:val="00464080"/>
    <w:rsid w:val="00495DA2"/>
    <w:rsid w:val="004F74DF"/>
    <w:rsid w:val="00507470"/>
    <w:rsid w:val="00512787"/>
    <w:rsid w:val="00533AB6"/>
    <w:rsid w:val="00591472"/>
    <w:rsid w:val="005C3B0A"/>
    <w:rsid w:val="005C50C8"/>
    <w:rsid w:val="005E707D"/>
    <w:rsid w:val="005F3080"/>
    <w:rsid w:val="005F448C"/>
    <w:rsid w:val="00605262"/>
    <w:rsid w:val="00607086"/>
    <w:rsid w:val="0061731A"/>
    <w:rsid w:val="0063274E"/>
    <w:rsid w:val="00635BC4"/>
    <w:rsid w:val="00636D72"/>
    <w:rsid w:val="00660C9F"/>
    <w:rsid w:val="0066136C"/>
    <w:rsid w:val="00677BA9"/>
    <w:rsid w:val="006B6D0E"/>
    <w:rsid w:val="006F533A"/>
    <w:rsid w:val="006F5466"/>
    <w:rsid w:val="007700A2"/>
    <w:rsid w:val="00792257"/>
    <w:rsid w:val="007B24DC"/>
    <w:rsid w:val="007D0A6F"/>
    <w:rsid w:val="00816F11"/>
    <w:rsid w:val="00832AF8"/>
    <w:rsid w:val="00852485"/>
    <w:rsid w:val="00852F19"/>
    <w:rsid w:val="00891293"/>
    <w:rsid w:val="008D2981"/>
    <w:rsid w:val="00902CAA"/>
    <w:rsid w:val="00961A50"/>
    <w:rsid w:val="009673B9"/>
    <w:rsid w:val="00973928"/>
    <w:rsid w:val="0097717E"/>
    <w:rsid w:val="00A00F8E"/>
    <w:rsid w:val="00A173E8"/>
    <w:rsid w:val="00A36022"/>
    <w:rsid w:val="00A42084"/>
    <w:rsid w:val="00A967C8"/>
    <w:rsid w:val="00A97748"/>
    <w:rsid w:val="00AE4987"/>
    <w:rsid w:val="00B0720B"/>
    <w:rsid w:val="00B078F0"/>
    <w:rsid w:val="00B1474B"/>
    <w:rsid w:val="00B16545"/>
    <w:rsid w:val="00B3144C"/>
    <w:rsid w:val="00B44970"/>
    <w:rsid w:val="00B52332"/>
    <w:rsid w:val="00B80625"/>
    <w:rsid w:val="00BA5465"/>
    <w:rsid w:val="00BF176F"/>
    <w:rsid w:val="00C011C1"/>
    <w:rsid w:val="00C0242A"/>
    <w:rsid w:val="00C52ABD"/>
    <w:rsid w:val="00C74679"/>
    <w:rsid w:val="00CE506F"/>
    <w:rsid w:val="00CE7231"/>
    <w:rsid w:val="00CE7944"/>
    <w:rsid w:val="00CF1DAB"/>
    <w:rsid w:val="00D21315"/>
    <w:rsid w:val="00D52DC0"/>
    <w:rsid w:val="00D6315B"/>
    <w:rsid w:val="00D73FFD"/>
    <w:rsid w:val="00D9105A"/>
    <w:rsid w:val="00D920C9"/>
    <w:rsid w:val="00E054DD"/>
    <w:rsid w:val="00E323E1"/>
    <w:rsid w:val="00E679AE"/>
    <w:rsid w:val="00EC50BC"/>
    <w:rsid w:val="00ED6C77"/>
    <w:rsid w:val="00EE489A"/>
    <w:rsid w:val="00EF16C0"/>
    <w:rsid w:val="00EF2CA2"/>
    <w:rsid w:val="00F21E89"/>
    <w:rsid w:val="00F40C0B"/>
    <w:rsid w:val="00F554E5"/>
    <w:rsid w:val="00F64E57"/>
    <w:rsid w:val="00F65A84"/>
    <w:rsid w:val="00F81C5D"/>
    <w:rsid w:val="00F94CEA"/>
    <w:rsid w:val="00FC2566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BodyText">
    <w:name w:val="Body Text"/>
    <w:basedOn w:val="Normal"/>
    <w:link w:val="BodyTextChar"/>
    <w:uiPriority w:val="99"/>
    <w:semiHidden/>
    <w:unhideWhenUsed/>
    <w:rsid w:val="00133D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3D92"/>
  </w:style>
  <w:style w:type="character" w:styleId="Hyperlink">
    <w:name w:val="Hyperlink"/>
    <w:basedOn w:val="DefaultParagraphFont"/>
    <w:uiPriority w:val="99"/>
    <w:unhideWhenUsed/>
    <w:rsid w:val="00174B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4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7405C-6FC8-4ABD-B421-3F72C3A8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Ethan Blanchard</cp:lastModifiedBy>
  <cp:revision>52</cp:revision>
  <dcterms:created xsi:type="dcterms:W3CDTF">2022-05-19T13:02:00Z</dcterms:created>
  <dcterms:modified xsi:type="dcterms:W3CDTF">2024-03-20T01:23:00Z</dcterms:modified>
</cp:coreProperties>
</file>